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4B" w:rsidRDefault="00C4654B" w:rsidP="00B74443">
      <w:pPr>
        <w:ind w:firstLine="709"/>
        <w:jc w:val="center"/>
        <w:rPr>
          <w:rFonts w:ascii="Times New Roman" w:hAnsi="Times New Roman"/>
          <w:sz w:val="28"/>
          <w:szCs w:val="28"/>
        </w:rPr>
      </w:pPr>
      <w:bookmarkStart w:id="0" w:name="_GoBack"/>
      <w:bookmarkEnd w:id="0"/>
    </w:p>
    <w:p w:rsidR="000764F6" w:rsidRPr="00B74443" w:rsidRDefault="000764F6" w:rsidP="00B80EAA">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E1591D" w:rsidP="00B74443">
      <w:pPr>
        <w:ind w:firstLine="709"/>
        <w:jc w:val="center"/>
        <w:rPr>
          <w:rFonts w:ascii="Times New Roman" w:hAnsi="Times New Roman"/>
          <w:sz w:val="28"/>
          <w:szCs w:val="28"/>
        </w:rPr>
      </w:pPr>
      <w:r>
        <w:rPr>
          <w:rFonts w:ascii="Times New Roman" w:hAnsi="Times New Roman"/>
          <w:sz w:val="28"/>
          <w:szCs w:val="28"/>
        </w:rPr>
        <w:t>КРАСНОРЕЧЕНСКОГО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w:t>
      </w:r>
      <w:r w:rsidR="00B80EAA">
        <w:rPr>
          <w:rFonts w:ascii="Times New Roman" w:hAnsi="Times New Roman"/>
          <w:sz w:val="28"/>
          <w:szCs w:val="28"/>
        </w:rPr>
        <w:t>10</w:t>
      </w:r>
      <w:r w:rsidRPr="00B74443">
        <w:rPr>
          <w:rFonts w:ascii="Times New Roman" w:hAnsi="Times New Roman"/>
          <w:sz w:val="28"/>
          <w:szCs w:val="28"/>
        </w:rPr>
        <w:t xml:space="preserve">» </w:t>
      </w:r>
      <w:r w:rsidR="00B80EAA">
        <w:rPr>
          <w:rFonts w:ascii="Times New Roman" w:hAnsi="Times New Roman"/>
          <w:sz w:val="28"/>
          <w:szCs w:val="28"/>
        </w:rPr>
        <w:t xml:space="preserve"> ноября</w:t>
      </w:r>
      <w:r w:rsidRPr="00B74443">
        <w:rPr>
          <w:rFonts w:ascii="Times New Roman" w:hAnsi="Times New Roman"/>
          <w:sz w:val="28"/>
          <w:szCs w:val="28"/>
        </w:rPr>
        <w:t xml:space="preserve"> 2023 г. № </w:t>
      </w:r>
      <w:r w:rsidR="00B80EAA">
        <w:rPr>
          <w:rFonts w:ascii="Times New Roman" w:hAnsi="Times New Roman"/>
          <w:sz w:val="28"/>
          <w:szCs w:val="28"/>
        </w:rPr>
        <w:t>48</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E1591D">
        <w:rPr>
          <w:rFonts w:ascii="Times New Roman" w:hAnsi="Times New Roman"/>
          <w:sz w:val="28"/>
          <w:szCs w:val="28"/>
        </w:rPr>
        <w:t>Краснореченка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E1591D">
        <w:rPr>
          <w:rFonts w:ascii="Times New Roman" w:hAnsi="Times New Roman"/>
          <w:sz w:val="28"/>
          <w:szCs w:val="28"/>
        </w:rPr>
        <w:t>Краснореченского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E1591D">
        <w:t>Краснореченского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и размещения на официальном сайте </w:t>
      </w:r>
      <w:r w:rsidR="00E1591D">
        <w:rPr>
          <w:rFonts w:ascii="Times New Roman" w:hAnsi="Times New Roman"/>
          <w:sz w:val="28"/>
          <w:szCs w:val="28"/>
        </w:rPr>
        <w:t>Краснореченского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E1591D">
            <w:pPr>
              <w:widowControl w:val="0"/>
              <w:ind w:firstLine="0"/>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E1591D">
              <w:rPr>
                <w:rFonts w:ascii="Times New Roman" w:eastAsia="Arial Unicode MS" w:hAnsi="Times New Roman"/>
                <w:sz w:val="28"/>
                <w:szCs w:val="28"/>
                <w:lang w:bidi="ru-RU"/>
              </w:rPr>
              <w:t>Ю.В. Остросаблина</w:t>
            </w:r>
            <w:r w:rsidRPr="00B74443">
              <w:rPr>
                <w:rFonts w:ascii="Times New Roman" w:eastAsia="Arial Unicode MS" w:hAnsi="Times New Roman"/>
                <w:sz w:val="28"/>
                <w:szCs w:val="28"/>
                <w:lang w:bidi="ru-RU"/>
              </w:rPr>
              <w:t xml:space="preserve"> </w:t>
            </w:r>
          </w:p>
        </w:tc>
      </w:tr>
    </w:tbl>
    <w:p w:rsidR="000764F6" w:rsidRPr="00B74443" w:rsidRDefault="000764F6" w:rsidP="00B80EAA">
      <w:pPr>
        <w:ind w:firstLine="709"/>
        <w:rPr>
          <w:rFonts w:ascii="Times New Roman" w:eastAsia="Arial Unicode MS" w:hAnsi="Times New Roman"/>
          <w:sz w:val="28"/>
          <w:szCs w:val="28"/>
          <w:lang w:bidi="ru-RU"/>
        </w:rPr>
      </w:pPr>
      <w:r w:rsidRPr="00B74443">
        <w:rPr>
          <w:rFonts w:ascii="Times New Roman" w:hAnsi="Times New Roman"/>
          <w:sz w:val="28"/>
          <w:szCs w:val="28"/>
        </w:rPr>
        <w:br w:type="page"/>
      </w:r>
      <w:r w:rsidR="00B80EAA">
        <w:rPr>
          <w:rFonts w:ascii="Times New Roman" w:hAnsi="Times New Roman"/>
          <w:sz w:val="28"/>
          <w:szCs w:val="28"/>
        </w:rPr>
        <w:lastRenderedPageBreak/>
        <w:t xml:space="preserve">                                                                                                    </w:t>
      </w:r>
      <w:r w:rsidRPr="00B74443">
        <w:rPr>
          <w:rFonts w:ascii="Times New Roman" w:eastAsia="Arial Unicode MS" w:hAnsi="Times New Roman"/>
          <w:sz w:val="28"/>
          <w:szCs w:val="28"/>
          <w:lang w:bidi="ru-RU"/>
        </w:rPr>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E1591D"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w:t>
      </w:r>
      <w:r w:rsidR="00B80EAA">
        <w:rPr>
          <w:rFonts w:ascii="Times New Roman" w:eastAsia="Arial Unicode MS" w:hAnsi="Times New Roman"/>
          <w:sz w:val="28"/>
          <w:szCs w:val="28"/>
          <w:lang w:bidi="ru-RU"/>
        </w:rPr>
        <w:t>10</w:t>
      </w:r>
      <w:r w:rsidRPr="00B74443">
        <w:rPr>
          <w:rFonts w:ascii="Times New Roman" w:eastAsia="Arial Unicode MS" w:hAnsi="Times New Roman"/>
          <w:sz w:val="28"/>
          <w:szCs w:val="28"/>
          <w:lang w:bidi="ru-RU"/>
        </w:rPr>
        <w:t>»</w:t>
      </w:r>
      <w:r w:rsidR="00B80EAA">
        <w:rPr>
          <w:rFonts w:ascii="Times New Roman" w:eastAsia="Arial Unicode MS" w:hAnsi="Times New Roman"/>
          <w:sz w:val="28"/>
          <w:szCs w:val="28"/>
          <w:lang w:bidi="ru-RU"/>
        </w:rPr>
        <w:t xml:space="preserve"> ноября </w:t>
      </w:r>
      <w:r w:rsidRPr="00B74443">
        <w:rPr>
          <w:rFonts w:ascii="Times New Roman" w:eastAsia="Arial Unicode MS" w:hAnsi="Times New Roman"/>
          <w:sz w:val="28"/>
          <w:szCs w:val="28"/>
          <w:lang w:bidi="ru-RU"/>
        </w:rPr>
        <w:t xml:space="preserve">2023 г. № </w:t>
      </w:r>
      <w:r w:rsidR="00B80EAA">
        <w:rPr>
          <w:rFonts w:ascii="Times New Roman" w:eastAsia="Arial Unicode MS" w:hAnsi="Times New Roman"/>
          <w:sz w:val="28"/>
          <w:szCs w:val="28"/>
          <w:lang w:bidi="ru-RU"/>
        </w:rPr>
        <w:t>48</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E1591D">
        <w:rPr>
          <w:i w:val="0"/>
          <w:sz w:val="28"/>
          <w:szCs w:val="28"/>
        </w:rPr>
        <w:t>Краснореченского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E1591D">
        <w:rPr>
          <w:sz w:val="28"/>
          <w:szCs w:val="28"/>
        </w:rPr>
        <w:t xml:space="preserve">Краснореченского </w:t>
      </w:r>
      <w:r w:rsidRPr="00B74443">
        <w:rPr>
          <w:sz w:val="28"/>
          <w:szCs w:val="28"/>
        </w:rPr>
        <w:t xml:space="preserve">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E1591D">
      <w:pPr>
        <w:pStyle w:val="21"/>
        <w:tabs>
          <w:tab w:val="left" w:pos="1405"/>
        </w:tabs>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r w:rsidR="00E1591D">
        <w:rPr>
          <w:sz w:val="28"/>
          <w:szCs w:val="28"/>
        </w:rPr>
        <w:t>Краснореченского</w:t>
      </w:r>
      <w:r w:rsidR="006972B1" w:rsidRPr="00B74443">
        <w:rPr>
          <w:sz w:val="28"/>
          <w:szCs w:val="28"/>
        </w:rPr>
        <w:t xml:space="preserve"> </w:t>
      </w:r>
      <w:r w:rsidR="00F7504A" w:rsidRPr="00B74443">
        <w:rPr>
          <w:sz w:val="28"/>
          <w:szCs w:val="28"/>
        </w:rPr>
        <w:t>(http://</w:t>
      </w:r>
      <w:r w:rsidR="00E1591D" w:rsidRPr="00E1591D">
        <w:rPr>
          <w:rFonts w:eastAsiaTheme="minorHAnsi"/>
        </w:rPr>
        <w:t xml:space="preserve"> </w:t>
      </w:r>
      <w:proofErr w:type="spellStart"/>
      <w:r w:rsidR="00E1591D" w:rsidRPr="00E1591D">
        <w:rPr>
          <w:sz w:val="28"/>
          <w:szCs w:val="28"/>
        </w:rPr>
        <w:t>krasnorechenskoe-grib</w:t>
      </w:r>
      <w:proofErr w:type="spellEnd"/>
      <w:r w:rsidR="00E1591D" w:rsidRPr="00E1591D">
        <w:rPr>
          <w:sz w:val="28"/>
          <w:szCs w:val="28"/>
        </w:rPr>
        <w:t>.</w:t>
      </w:r>
      <w:proofErr w:type="spellStart"/>
      <w:r w:rsidR="00E1591D" w:rsidRPr="00E1591D">
        <w:rPr>
          <w:sz w:val="28"/>
          <w:szCs w:val="28"/>
          <w:lang w:val="en-US"/>
        </w:rPr>
        <w:t>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E1591D">
        <w:rPr>
          <w:sz w:val="28"/>
          <w:szCs w:val="28"/>
        </w:rPr>
        <w:t>Краснореченского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E1591D">
        <w:rPr>
          <w:rFonts w:ascii="Times New Roman" w:eastAsia="Arial Unicode MS" w:hAnsi="Times New Roman"/>
          <w:sz w:val="28"/>
          <w:szCs w:val="28"/>
          <w:lang w:bidi="ru-RU"/>
        </w:rPr>
        <w:t>Краснореченского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E1591D">
        <w:rPr>
          <w:rFonts w:ascii="Times New Roman" w:hAnsi="Times New Roman"/>
          <w:sz w:val="28"/>
          <w:szCs w:val="28"/>
        </w:rPr>
        <w:t>краснореченского</w:t>
      </w:r>
      <w:proofErr w:type="spellEnd"/>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E1591D" w:rsidRPr="00E1591D" w:rsidRDefault="004178D4" w:rsidP="00E1591D">
      <w:pPr>
        <w:pStyle w:val="21"/>
        <w:tabs>
          <w:tab w:val="left" w:pos="1341"/>
        </w:tabs>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w:t>
      </w:r>
      <w:proofErr w:type="spellStart"/>
      <w:r w:rsidRPr="00B74443">
        <w:rPr>
          <w:sz w:val="28"/>
          <w:szCs w:val="28"/>
        </w:rPr>
        <w:t>Муиципальные</w:t>
      </w:r>
      <w:proofErr w:type="spellEnd"/>
      <w:r w:rsidRPr="00B74443">
        <w:rPr>
          <w:sz w:val="28"/>
          <w:szCs w:val="28"/>
        </w:rPr>
        <w:t xml:space="preserve"> услуги» по адресу http://</w:t>
      </w:r>
      <w:r w:rsidR="00E1591D" w:rsidRPr="00E1591D">
        <w:rPr>
          <w:rFonts w:eastAsiaTheme="minorHAnsi"/>
        </w:rPr>
        <w:t xml:space="preserve"> </w:t>
      </w:r>
      <w:proofErr w:type="spellStart"/>
      <w:r w:rsidR="00E1591D" w:rsidRPr="00E1591D">
        <w:rPr>
          <w:sz w:val="28"/>
          <w:szCs w:val="28"/>
        </w:rPr>
        <w:t>krasnorechenskoe-grib</w:t>
      </w:r>
      <w:proofErr w:type="spellEnd"/>
      <w:r w:rsidR="00E1591D" w:rsidRPr="00E1591D">
        <w:rPr>
          <w:sz w:val="28"/>
          <w:szCs w:val="28"/>
        </w:rPr>
        <w:t>.</w:t>
      </w:r>
      <w:proofErr w:type="spellStart"/>
      <w:r w:rsidR="00E1591D" w:rsidRPr="00E1591D">
        <w:rPr>
          <w:sz w:val="28"/>
          <w:szCs w:val="28"/>
          <w:lang w:val="en-US"/>
        </w:rPr>
        <w:t>ru</w:t>
      </w:r>
      <w:proofErr w:type="spellEnd"/>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B7444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E1591D">
        <w:rPr>
          <w:rFonts w:eastAsiaTheme="minorHAnsi"/>
          <w:i w:val="0"/>
          <w:sz w:val="28"/>
          <w:szCs w:val="28"/>
        </w:rPr>
        <w:t>Краснореченского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E1591D">
        <w:rPr>
          <w:rFonts w:eastAsiaTheme="minorHAnsi"/>
          <w:i w:val="0"/>
          <w:sz w:val="28"/>
          <w:szCs w:val="28"/>
        </w:rPr>
        <w:t>Краснореченского</w:t>
      </w:r>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xml:space="preserve">№ </w:t>
      </w:r>
      <w:r w:rsidR="0039532D">
        <w:rPr>
          <w:rFonts w:eastAsiaTheme="minorHAnsi"/>
          <w:i w:val="0"/>
          <w:sz w:val="28"/>
          <w:szCs w:val="28"/>
        </w:rPr>
        <w:t>126</w:t>
      </w:r>
      <w:r w:rsidR="00B74443" w:rsidRPr="00B74443">
        <w:rPr>
          <w:rFonts w:eastAsiaTheme="minorHAnsi"/>
          <w:i w:val="0"/>
          <w:sz w:val="28"/>
          <w:szCs w:val="28"/>
        </w:rPr>
        <w:t xml:space="preserve"> </w:t>
      </w:r>
      <w:r w:rsidR="0067603D" w:rsidRPr="00B74443">
        <w:rPr>
          <w:rFonts w:eastAsiaTheme="minorHAnsi"/>
          <w:i w:val="0"/>
          <w:sz w:val="28"/>
          <w:szCs w:val="28"/>
        </w:rPr>
        <w:t xml:space="preserve">от </w:t>
      </w:r>
      <w:r w:rsidR="0039532D">
        <w:rPr>
          <w:rFonts w:eastAsiaTheme="minorHAnsi"/>
          <w:i w:val="0"/>
          <w:sz w:val="28"/>
          <w:szCs w:val="28"/>
        </w:rPr>
        <w:t>31.05.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C4654B">
        <w:rPr>
          <w:sz w:val="28"/>
          <w:szCs w:val="28"/>
        </w:rPr>
        <w:t>Краснореченского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C4654B">
        <w:rPr>
          <w:sz w:val="28"/>
          <w:szCs w:val="28"/>
        </w:rPr>
        <w:t>Краснореченского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B80EAA">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61" w:rsidRDefault="00747561" w:rsidP="009476CE">
      <w:r>
        <w:separator/>
      </w:r>
    </w:p>
  </w:endnote>
  <w:endnote w:type="continuationSeparator" w:id="0">
    <w:p w:rsidR="00747561" w:rsidRDefault="0074756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61" w:rsidRDefault="00747561" w:rsidP="009476CE">
      <w:r>
        <w:separator/>
      </w:r>
    </w:p>
  </w:footnote>
  <w:footnote w:type="continuationSeparator" w:id="0">
    <w:p w:rsidR="00747561" w:rsidRDefault="0074756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E1591D" w:rsidRDefault="00E1591D">
        <w:pPr>
          <w:pStyle w:val="a9"/>
          <w:jc w:val="center"/>
        </w:pPr>
        <w:r>
          <w:fldChar w:fldCharType="begin"/>
        </w:r>
        <w:r>
          <w:instrText>PAGE   \* MERGEFORMAT</w:instrText>
        </w:r>
        <w:r>
          <w:fldChar w:fldCharType="separate"/>
        </w:r>
        <w:r w:rsidR="00905061">
          <w:rPr>
            <w:noProof/>
          </w:rPr>
          <w:t>2</w:t>
        </w:r>
        <w:r>
          <w:fldChar w:fldCharType="end"/>
        </w:r>
      </w:p>
    </w:sdtContent>
  </w:sdt>
  <w:p w:rsidR="00E1591D" w:rsidRDefault="00E1591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532D"/>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561"/>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05061"/>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0EAA"/>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654B"/>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1591D"/>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5BDA"/>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5636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961B-9B0A-4840-9593-5833D71C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14062</Words>
  <Characters>80155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2023-07-18T09:53:00Z</cp:lastPrinted>
  <dcterms:created xsi:type="dcterms:W3CDTF">2023-11-13T10:32:00Z</dcterms:created>
  <dcterms:modified xsi:type="dcterms:W3CDTF">2023-11-13T10:32:00Z</dcterms:modified>
</cp:coreProperties>
</file>