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88" w:rsidRPr="00D73388" w:rsidRDefault="00D73388" w:rsidP="0044662C">
      <w:pPr>
        <w:widowControl/>
        <w:ind w:firstLine="709"/>
        <w:jc w:val="center"/>
        <w:rPr>
          <w:rFonts w:ascii="Times New Roman" w:eastAsia="Times New Roman" w:hAnsi="Times New Roman" w:cs="Times New Roman"/>
          <w:color w:val="auto"/>
          <w:sz w:val="32"/>
          <w:szCs w:val="32"/>
          <w:lang w:bidi="ar-SA"/>
        </w:rPr>
      </w:pPr>
      <w:r>
        <w:rPr>
          <w:rFonts w:ascii="Times New Roman" w:eastAsia="Times New Roman" w:hAnsi="Times New Roman" w:cs="Times New Roman"/>
          <w:color w:val="auto"/>
          <w:sz w:val="28"/>
          <w:szCs w:val="28"/>
          <w:lang w:bidi="ar-SA"/>
        </w:rPr>
        <w:t xml:space="preserve">                                                                                         </w:t>
      </w:r>
    </w:p>
    <w:p w:rsidR="004B6112" w:rsidRPr="0044662C" w:rsidRDefault="00D73388"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w:t>
      </w:r>
      <w:r w:rsidR="004B6112" w:rsidRPr="0044662C">
        <w:rPr>
          <w:rFonts w:ascii="Times New Roman" w:eastAsia="Times New Roman" w:hAnsi="Times New Roman" w:cs="Times New Roman"/>
          <w:color w:val="auto"/>
          <w:sz w:val="28"/>
          <w:szCs w:val="28"/>
          <w:lang w:bidi="ar-SA"/>
        </w:rPr>
        <w:t>ДМИНИСТРАЦИЯ</w:t>
      </w:r>
    </w:p>
    <w:p w:rsidR="004B6112" w:rsidRPr="0044662C" w:rsidRDefault="00A82EAE"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w:t>
      </w:r>
      <w:r w:rsidR="00252EA1">
        <w:rPr>
          <w:rFonts w:ascii="Times New Roman" w:eastAsia="Times New Roman" w:hAnsi="Times New Roman" w:cs="Times New Roman"/>
          <w:color w:val="auto"/>
          <w:sz w:val="28"/>
          <w:szCs w:val="28"/>
          <w:lang w:bidi="ar-SA"/>
        </w:rPr>
        <w:t>26</w:t>
      </w:r>
      <w:r w:rsidRPr="0044662C">
        <w:rPr>
          <w:rFonts w:ascii="Times New Roman" w:eastAsia="Times New Roman" w:hAnsi="Times New Roman" w:cs="Times New Roman"/>
          <w:color w:val="auto"/>
          <w:sz w:val="28"/>
          <w:szCs w:val="28"/>
          <w:lang w:bidi="ar-SA"/>
        </w:rPr>
        <w:t xml:space="preserve">» </w:t>
      </w:r>
      <w:r w:rsidR="00252EA1">
        <w:rPr>
          <w:rFonts w:ascii="Times New Roman" w:eastAsia="Times New Roman" w:hAnsi="Times New Roman" w:cs="Times New Roman"/>
          <w:color w:val="auto"/>
          <w:sz w:val="28"/>
          <w:szCs w:val="28"/>
          <w:lang w:bidi="ar-SA"/>
        </w:rPr>
        <w:t xml:space="preserve"> сентября</w:t>
      </w:r>
      <w:r w:rsidRPr="0044662C">
        <w:rPr>
          <w:rFonts w:ascii="Times New Roman" w:eastAsia="Times New Roman" w:hAnsi="Times New Roman" w:cs="Times New Roman"/>
          <w:color w:val="auto"/>
          <w:sz w:val="28"/>
          <w:szCs w:val="28"/>
          <w:lang w:bidi="ar-SA"/>
        </w:rPr>
        <w:t xml:space="preserve"> 2023 г. № </w:t>
      </w:r>
      <w:r w:rsidR="00252EA1">
        <w:rPr>
          <w:rFonts w:ascii="Times New Roman" w:eastAsia="Times New Roman" w:hAnsi="Times New Roman" w:cs="Times New Roman"/>
          <w:color w:val="auto"/>
          <w:sz w:val="28"/>
          <w:szCs w:val="28"/>
          <w:lang w:bidi="ar-SA"/>
        </w:rPr>
        <w:t>37</w:t>
      </w:r>
    </w:p>
    <w:p w:rsidR="004B6112" w:rsidRPr="0044662C" w:rsidRDefault="004B6112" w:rsidP="0044662C">
      <w:pPr>
        <w:widowControl/>
        <w:rPr>
          <w:rFonts w:ascii="Times New Roman" w:eastAsia="Times New Roman" w:hAnsi="Times New Roman" w:cs="Times New Roman"/>
          <w:color w:val="auto"/>
          <w:sz w:val="28"/>
          <w:szCs w:val="28"/>
          <w:lang w:bidi="ar-SA"/>
        </w:rPr>
      </w:pPr>
      <w:proofErr w:type="gramStart"/>
      <w:r w:rsidRPr="0044662C">
        <w:rPr>
          <w:rFonts w:ascii="Times New Roman" w:eastAsia="Times New Roman" w:hAnsi="Times New Roman" w:cs="Times New Roman"/>
          <w:color w:val="auto"/>
          <w:sz w:val="28"/>
          <w:szCs w:val="28"/>
          <w:lang w:bidi="ar-SA"/>
        </w:rPr>
        <w:t>с</w:t>
      </w:r>
      <w:proofErr w:type="gramEnd"/>
      <w:r w:rsidRPr="0044662C">
        <w:rPr>
          <w:rFonts w:ascii="Times New Roman" w:eastAsia="Times New Roman" w:hAnsi="Times New Roman" w:cs="Times New Roman"/>
          <w:color w:val="auto"/>
          <w:sz w:val="28"/>
          <w:szCs w:val="28"/>
          <w:lang w:bidi="ar-SA"/>
        </w:rPr>
        <w:t xml:space="preserve">. </w:t>
      </w:r>
      <w:r w:rsidR="00A82EAE">
        <w:rPr>
          <w:rFonts w:ascii="Times New Roman" w:eastAsia="Times New Roman" w:hAnsi="Times New Roman" w:cs="Times New Roman"/>
          <w:color w:val="auto"/>
          <w:sz w:val="28"/>
          <w:szCs w:val="28"/>
          <w:lang w:bidi="ar-SA"/>
        </w:rPr>
        <w:t>Краснореченка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A82EAE">
        <w:rPr>
          <w:rFonts w:ascii="Times New Roman" w:hAnsi="Times New Roman" w:cs="Times New Roman"/>
          <w:color w:val="auto"/>
          <w:sz w:val="28"/>
          <w:szCs w:val="28"/>
        </w:rPr>
        <w:t>Краснореченского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82EAE">
        <w:t>Краснореченского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A82EAE">
        <w:rPr>
          <w:rFonts w:ascii="Times New Roman" w:hAnsi="Times New Roman" w:cs="Times New Roman"/>
          <w:color w:val="auto"/>
          <w:sz w:val="28"/>
          <w:szCs w:val="28"/>
        </w:rPr>
        <w:t xml:space="preserve">Краснореченского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A82EAE">
        <w:rPr>
          <w:rFonts w:ascii="Times New Roman" w:hAnsi="Times New Roman" w:cs="Times New Roman"/>
          <w:color w:val="auto"/>
          <w:sz w:val="28"/>
          <w:szCs w:val="28"/>
        </w:rPr>
        <w:t>Краснореченского</w:t>
      </w:r>
      <w:r w:rsidR="00BE24B8" w:rsidRPr="0044662C">
        <w:rPr>
          <w:rFonts w:ascii="Times New Roman" w:hAnsi="Times New Roman" w:cs="Times New Roman"/>
          <w:color w:val="auto"/>
          <w:sz w:val="28"/>
          <w:szCs w:val="28"/>
        </w:rPr>
        <w:t xml:space="preserve"> сельского поселения Грибановского </w:t>
      </w:r>
      <w:r w:rsidR="00BE24B8" w:rsidRPr="0044662C">
        <w:rPr>
          <w:rFonts w:ascii="Times New Roman" w:hAnsi="Times New Roman" w:cs="Times New Roman"/>
          <w:color w:val="auto"/>
          <w:sz w:val="28"/>
          <w:szCs w:val="28"/>
        </w:rPr>
        <w:lastRenderedPageBreak/>
        <w:t>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251C6E">
        <w:rPr>
          <w:rFonts w:ascii="Times New Roman" w:hAnsi="Times New Roman" w:cs="Times New Roman"/>
          <w:b w:val="0"/>
          <w:sz w:val="28"/>
          <w:szCs w:val="28"/>
        </w:rPr>
        <w:t>01</w:t>
      </w:r>
      <w:r w:rsidRPr="0044662C">
        <w:rPr>
          <w:rFonts w:ascii="Times New Roman" w:hAnsi="Times New Roman" w:cs="Times New Roman"/>
          <w:b w:val="0"/>
          <w:sz w:val="28"/>
          <w:szCs w:val="28"/>
        </w:rPr>
        <w:t>»</w:t>
      </w:r>
      <w:r w:rsidR="0036718E">
        <w:rPr>
          <w:rFonts w:ascii="Times New Roman" w:hAnsi="Times New Roman" w:cs="Times New Roman"/>
          <w:b w:val="0"/>
          <w:sz w:val="28"/>
          <w:szCs w:val="28"/>
        </w:rPr>
        <w:t xml:space="preserve"> июля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36718E">
        <w:rPr>
          <w:rFonts w:ascii="Times New Roman" w:hAnsi="Times New Roman" w:cs="Times New Roman"/>
          <w:b w:val="0"/>
          <w:sz w:val="28"/>
          <w:szCs w:val="28"/>
        </w:rPr>
        <w:t>21</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36718E">
        <w:rPr>
          <w:rFonts w:ascii="Times New Roman" w:eastAsia="SimSun" w:hAnsi="Times New Roman" w:cs="Times New Roman"/>
          <w:b w:val="0"/>
          <w:bCs/>
          <w:kern w:val="1"/>
          <w:sz w:val="28"/>
          <w:szCs w:val="28"/>
          <w:lang w:eastAsia="hi-IN" w:bidi="hi-IN"/>
        </w:rPr>
        <w:t>Краснореченского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36718E">
        <w:rPr>
          <w:rFonts w:ascii="Times New Roman" w:hAnsi="Times New Roman" w:cs="Times New Roman"/>
          <w:b w:val="0"/>
          <w:sz w:val="28"/>
          <w:szCs w:val="28"/>
        </w:rPr>
        <w:t>09» февраля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36718E">
        <w:rPr>
          <w:rFonts w:ascii="Times New Roman" w:hAnsi="Times New Roman" w:cs="Times New Roman"/>
          <w:b w:val="0"/>
          <w:sz w:val="28"/>
          <w:szCs w:val="28"/>
        </w:rPr>
        <w:t>7</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36718E">
        <w:rPr>
          <w:rFonts w:ascii="Times New Roman" w:hAnsi="Times New Roman" w:cs="Times New Roman"/>
          <w:b w:val="0"/>
          <w:sz w:val="28"/>
          <w:szCs w:val="28"/>
        </w:rPr>
        <w:t>Краснореченского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36718E">
        <w:rPr>
          <w:rFonts w:ascii="Times New Roman" w:eastAsia="Times New Roman" w:hAnsi="Times New Roman" w:cs="Times New Roman"/>
          <w:color w:val="auto"/>
          <w:sz w:val="28"/>
          <w:szCs w:val="28"/>
          <w:lang w:bidi="ar-SA"/>
        </w:rPr>
        <w:t>Краснореченского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36718E">
        <w:rPr>
          <w:rFonts w:ascii="Times New Roman" w:eastAsia="Times New Roman" w:hAnsi="Times New Roman" w:cs="Times New Roman"/>
          <w:color w:val="auto"/>
          <w:sz w:val="28"/>
          <w:szCs w:val="28"/>
          <w:lang w:bidi="ar-SA"/>
        </w:rPr>
        <w:t>Краснореченского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36718E" w:rsidP="0036718E">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Ю.В. Остросаблина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36718E"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w:t>
      </w:r>
      <w:r w:rsidR="00252EA1">
        <w:rPr>
          <w:rFonts w:ascii="Times New Roman" w:eastAsia="Times New Roman" w:hAnsi="Times New Roman" w:cs="Times New Roman"/>
          <w:color w:val="auto"/>
          <w:sz w:val="28"/>
          <w:szCs w:val="28"/>
          <w:lang w:bidi="ar-SA"/>
        </w:rPr>
        <w:t>26</w:t>
      </w:r>
      <w:r w:rsidRPr="00BC5FCD">
        <w:rPr>
          <w:rFonts w:ascii="Times New Roman" w:eastAsia="Times New Roman" w:hAnsi="Times New Roman" w:cs="Times New Roman"/>
          <w:color w:val="auto"/>
          <w:sz w:val="28"/>
          <w:szCs w:val="28"/>
          <w:lang w:bidi="ar-SA"/>
        </w:rPr>
        <w:t>»</w:t>
      </w:r>
      <w:r w:rsidR="00252EA1">
        <w:rPr>
          <w:rFonts w:ascii="Times New Roman" w:eastAsia="Times New Roman" w:hAnsi="Times New Roman" w:cs="Times New Roman"/>
          <w:color w:val="auto"/>
          <w:sz w:val="28"/>
          <w:szCs w:val="28"/>
          <w:lang w:bidi="ar-SA"/>
        </w:rPr>
        <w:t xml:space="preserve">сентября </w:t>
      </w:r>
      <w:r w:rsidRPr="00BC5FCD">
        <w:rPr>
          <w:rFonts w:ascii="Times New Roman" w:eastAsia="Times New Roman" w:hAnsi="Times New Roman" w:cs="Times New Roman"/>
          <w:color w:val="auto"/>
          <w:sz w:val="28"/>
          <w:szCs w:val="28"/>
          <w:lang w:bidi="ar-SA"/>
        </w:rPr>
        <w:t xml:space="preserve">2023 г. № </w:t>
      </w:r>
      <w:r w:rsidR="00D96FDB">
        <w:rPr>
          <w:rFonts w:ascii="Times New Roman" w:eastAsia="Times New Roman" w:hAnsi="Times New Roman" w:cs="Times New Roman"/>
          <w:color w:val="auto"/>
          <w:sz w:val="28"/>
          <w:szCs w:val="28"/>
          <w:lang w:bidi="ar-SA"/>
        </w:rPr>
        <w:t>37</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36718E">
        <w:rPr>
          <w:i w:val="0"/>
          <w:sz w:val="28"/>
          <w:szCs w:val="28"/>
        </w:rPr>
        <w:t>Краснореченского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36718E">
        <w:t>Краснореченского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36718E">
        <w:rPr>
          <w:rFonts w:ascii="Times New Roman" w:hAnsi="Times New Roman"/>
          <w:sz w:val="28"/>
          <w:szCs w:val="28"/>
        </w:rPr>
        <w:t>Краснореченского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w:t>
      </w:r>
      <w:r w:rsidRPr="0044662C">
        <w:rPr>
          <w:rFonts w:ascii="Times New Roman" w:eastAsiaTheme="minorHAnsi" w:hAnsi="Times New Roman" w:cs="Times New Roman"/>
          <w:color w:val="auto"/>
          <w:sz w:val="28"/>
          <w:szCs w:val="28"/>
          <w:lang w:eastAsia="en-US"/>
        </w:rPr>
        <w:lastRenderedPageBreak/>
        <w:t>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lastRenderedPageBreak/>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36718E">
        <w:rPr>
          <w:rFonts w:ascii="Times New Roman" w:hAnsi="Times New Roman" w:cs="Times New Roman"/>
          <w:color w:val="auto"/>
          <w:spacing w:val="7"/>
          <w:sz w:val="28"/>
          <w:szCs w:val="28"/>
        </w:rPr>
        <w:t>Краснореченского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lastRenderedPageBreak/>
        <w:t>(далее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w:t>
      </w:r>
      <w:r w:rsidR="0036718E" w:rsidRPr="0036718E">
        <w:rPr>
          <w:rFonts w:ascii="Times New Roman" w:hAnsi="Times New Roman" w:cs="Times New Roman"/>
          <w:spacing w:val="7"/>
          <w:sz w:val="28"/>
          <w:szCs w:val="28"/>
        </w:rPr>
        <w:t xml:space="preserve"> krasnorechenskoe-grib.ru</w:t>
      </w:r>
      <w:r w:rsidR="0036718E">
        <w:rPr>
          <w:rFonts w:ascii="Times New Roman" w:hAnsi="Times New Roman" w:cs="Times New Roman"/>
          <w:spacing w:val="7"/>
          <w:sz w:val="28"/>
          <w:szCs w:val="28"/>
        </w:rPr>
        <w:t>)</w:t>
      </w:r>
      <w:r w:rsidR="0036718E" w:rsidRPr="0044662C">
        <w:rPr>
          <w:rFonts w:ascii="Times New Roman" w:hAnsi="Times New Roman" w:cs="Times New Roman"/>
          <w:color w:val="auto"/>
          <w:spacing w:val="7"/>
          <w:sz w:val="28"/>
          <w:szCs w:val="28"/>
        </w:rPr>
        <w:t xml:space="preserve"> </w:t>
      </w:r>
      <w:r w:rsidR="0036718E">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 исчерпывающий перечень оснований для приостановления или </w:t>
      </w:r>
      <w:r w:rsidRPr="0044662C">
        <w:rPr>
          <w:rFonts w:ascii="Times New Roman" w:hAnsi="Times New Roman" w:cs="Times New Roman"/>
          <w:color w:val="auto"/>
          <w:spacing w:val="7"/>
          <w:sz w:val="28"/>
          <w:szCs w:val="28"/>
        </w:rPr>
        <w:lastRenderedPageBreak/>
        <w:t>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произносят </w:t>
      </w:r>
      <w:r w:rsidRPr="0044662C">
        <w:rPr>
          <w:rFonts w:ascii="Times New Roman" w:hAnsi="Times New Roman" w:cs="Times New Roman"/>
          <w:color w:val="auto"/>
          <w:spacing w:val="7"/>
          <w:sz w:val="28"/>
          <w:szCs w:val="28"/>
        </w:rPr>
        <w:lastRenderedPageBreak/>
        <w:t>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F86E53">
        <w:t>Краснореченского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F86E53">
        <w:t>Краснореченского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являются необходимыми и обязательными для предоставления администрацией </w:t>
      </w:r>
      <w:r w:rsidR="00F86E53">
        <w:t>Краснореченского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F86E53">
        <w:t>Краснореченского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 xml:space="preserve">Срок предоставления Муниципальной услуги исчисляется со дня </w:t>
      </w:r>
      <w:r w:rsidR="009A3E35" w:rsidRPr="0044662C">
        <w:rPr>
          <w:rFonts w:eastAsia="Calibri"/>
        </w:rPr>
        <w:lastRenderedPageBreak/>
        <w:t>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F86E53" w:rsidRPr="00F86E53">
        <w:rPr>
          <w:rFonts w:eastAsia="Arial Unicode MS"/>
          <w:color w:val="000000"/>
          <w:sz w:val="28"/>
          <w:szCs w:val="28"/>
          <w:lang w:eastAsia="ru-RU" w:bidi="ru-RU"/>
        </w:rPr>
        <w:t xml:space="preserve"> krasnorechenskoe-grib.ru</w:t>
      </w:r>
      <w:r w:rsidR="00F86E53" w:rsidRPr="0044662C">
        <w:rPr>
          <w:sz w:val="28"/>
          <w:szCs w:val="28"/>
        </w:rPr>
        <w:t xml:space="preserve"> </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lastRenderedPageBreak/>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lastRenderedPageBreak/>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w:t>
      </w:r>
      <w:proofErr w:type="gramStart"/>
      <w:r w:rsidRPr="0044662C">
        <w:rPr>
          <w:rFonts w:ascii="Times New Roman" w:hAnsi="Times New Roman" w:cs="Times New Roman"/>
          <w:bCs/>
          <w:color w:val="auto"/>
          <w:sz w:val="28"/>
          <w:szCs w:val="28"/>
        </w:rPr>
        <w:t>муниципальных</w:t>
      </w:r>
      <w:proofErr w:type="gramEnd"/>
      <w:r w:rsidRPr="0044662C">
        <w:rPr>
          <w:rFonts w:ascii="Times New Roman" w:hAnsi="Times New Roman" w:cs="Times New Roman"/>
          <w:bCs/>
          <w:color w:val="auto"/>
          <w:sz w:val="28"/>
          <w:szCs w:val="28"/>
        </w:rPr>
        <w:t xml:space="preserve">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w:t>
      </w:r>
      <w:r w:rsidRPr="0044662C">
        <w:rPr>
          <w:rFonts w:ascii="Times New Roman" w:eastAsia="Calibri" w:hAnsi="Times New Roman" w:cs="Times New Roman"/>
          <w:color w:val="auto"/>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16.8. Зал ожидания Заявителей оборудуется стульями, скамьями, </w:t>
      </w:r>
      <w:r w:rsidRPr="0044662C">
        <w:rPr>
          <w:rFonts w:ascii="Times New Roman" w:hAnsi="Times New Roman" w:cs="Times New Roman"/>
          <w:color w:val="auto"/>
          <w:sz w:val="28"/>
          <w:szCs w:val="28"/>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w:t>
      </w:r>
      <w:r w:rsidRPr="0044662C">
        <w:rPr>
          <w:rFonts w:ascii="Times New Roman" w:hAnsi="Times New Roman" w:cs="Times New Roman"/>
          <w:color w:val="auto"/>
          <w:sz w:val="28"/>
          <w:szCs w:val="28"/>
        </w:rPr>
        <w:lastRenderedPageBreak/>
        <w:t>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w:t>
      </w:r>
      <w:r w:rsidRPr="0044662C">
        <w:rPr>
          <w:rFonts w:ascii="Times New Roman" w:hAnsi="Times New Roman" w:cs="Times New Roman"/>
          <w:color w:val="auto"/>
          <w:sz w:val="28"/>
          <w:szCs w:val="28"/>
        </w:rPr>
        <w:lastRenderedPageBreak/>
        <w:t>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733F52" w:rsidRPr="0044662C">
        <w:rPr>
          <w:rFonts w:ascii="Times New Roman" w:hAnsi="Times New Roman" w:cs="Times New Roman"/>
          <w:color w:val="auto"/>
          <w:sz w:val="28"/>
          <w:szCs w:val="28"/>
        </w:rPr>
        <w:lastRenderedPageBreak/>
        <w:t>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A82EAE"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w:t>
      </w:r>
      <w:r w:rsidR="00CD6F3C" w:rsidRPr="0044662C">
        <w:rPr>
          <w:rFonts w:ascii="Times New Roman" w:hAnsi="Times New Roman"/>
          <w:sz w:val="28"/>
          <w:szCs w:val="28"/>
        </w:rPr>
        <w:lastRenderedPageBreak/>
        <w:t>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 xml:space="preserve">получение необходимых </w:t>
      </w:r>
      <w:r w:rsidR="00CD6F3C" w:rsidRPr="0044662C">
        <w:rPr>
          <w:bCs/>
          <w:sz w:val="28"/>
          <w:szCs w:val="28"/>
        </w:rPr>
        <w:lastRenderedPageBreak/>
        <w:t>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 xml:space="preserve">Основанием принятия решения об исправлении допущенных </w:t>
      </w:r>
      <w:r w:rsidR="00245905" w:rsidRPr="0044662C">
        <w:rPr>
          <w:rFonts w:eastAsiaTheme="minorHAnsi"/>
        </w:rPr>
        <w:lastRenderedPageBreak/>
        <w:t>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w:t>
      </w:r>
      <w:r w:rsidR="00034CBF" w:rsidRPr="0044662C">
        <w:lastRenderedPageBreak/>
        <w:t xml:space="preserve">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6E53">
        <w:t>Краснореченского</w:t>
      </w:r>
      <w:r w:rsidR="0044662C" w:rsidRPr="0044662C">
        <w:t xml:space="preserve">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86E53">
        <w:rPr>
          <w:sz w:val="28"/>
          <w:szCs w:val="28"/>
        </w:rPr>
        <w:t>Краснореченского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4662C">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00034CBF" w:rsidRPr="0044662C">
        <w:rPr>
          <w:rFonts w:ascii="Times New Roman" w:hAnsi="Times New Roman" w:cs="Times New Roman"/>
          <w:color w:val="auto"/>
          <w:spacing w:val="7"/>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44662C">
        <w:rPr>
          <w:rFonts w:ascii="Times New Roman" w:hAnsi="Times New Roman" w:cs="Times New Roman"/>
          <w:color w:val="auto"/>
          <w:sz w:val="28"/>
          <w:szCs w:val="28"/>
        </w:rPr>
        <w:lastRenderedPageBreak/>
        <w:t xml:space="preserve">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w:t>
      </w:r>
      <w:r w:rsidR="00990048" w:rsidRPr="0044662C">
        <w:rPr>
          <w:rFonts w:ascii="Times New Roman" w:hAnsi="Times New Roman" w:cs="Times New Roman"/>
          <w:color w:val="auto"/>
          <w:sz w:val="28"/>
          <w:szCs w:val="28"/>
        </w:rPr>
        <w:lastRenderedPageBreak/>
        <w:t xml:space="preserve">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w:t>
      </w:r>
      <w:r w:rsidR="00990048" w:rsidRPr="0044662C">
        <w:rPr>
          <w:rFonts w:ascii="Times New Roman" w:hAnsi="Times New Roman" w:cs="Times New Roman"/>
          <w:color w:val="auto"/>
          <w:sz w:val="28"/>
          <w:szCs w:val="28"/>
        </w:rPr>
        <w:lastRenderedPageBreak/>
        <w:t xml:space="preserve">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0" w:name="p39"/>
      <w:bookmarkEnd w:id="0"/>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1" w:name="p43"/>
      <w:bookmarkEnd w:id="1"/>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2"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2"/>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8"/>
      <w:r w:rsidRPr="0044662C">
        <w:rPr>
          <w:rFonts w:ascii="Times New Roman" w:hAnsi="Times New Roman" w:cs="Times New Roman"/>
          <w:b w:val="0"/>
          <w:color w:val="auto"/>
          <w:sz w:val="28"/>
          <w:szCs w:val="28"/>
        </w:rPr>
        <w:t>в ходе предоставления муниципальной услуги</w:t>
      </w:r>
      <w:bookmarkEnd w:id="5"/>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xml:space="preserve">. Порядок досудебного (внесудебного) обжалования решений и </w:t>
      </w:r>
      <w:r w:rsidR="00990048" w:rsidRPr="0044662C">
        <w:rPr>
          <w:rFonts w:ascii="Times New Roman" w:hAnsi="Times New Roman" w:cs="Times New Roman"/>
          <w:color w:val="auto"/>
          <w:sz w:val="28"/>
          <w:szCs w:val="28"/>
        </w:rPr>
        <w:lastRenderedPageBreak/>
        <w:t>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целях </w:t>
      </w:r>
      <w:proofErr w:type="gramStart"/>
      <w:r w:rsidRPr="0044662C">
        <w:rPr>
          <w:b w:val="0"/>
          <w:color w:val="auto"/>
          <w:szCs w:val="28"/>
          <w:lang w:val="ru-RU"/>
        </w:rPr>
        <w:t>бесплатного</w:t>
      </w:r>
      <w:proofErr w:type="gramEnd"/>
      <w:r w:rsidRPr="0044662C">
        <w:rPr>
          <w:b w:val="0"/>
          <w:color w:val="auto"/>
          <w:szCs w:val="28"/>
          <w:lang w:val="ru-RU"/>
        </w:rPr>
        <w:t xml:space="preserve">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6" w:name="P635"/>
      <w:bookmarkEnd w:id="6"/>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D96FDB" w:rsidRDefault="00D96FDB" w:rsidP="00D96FD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Администрация</w:t>
      </w:r>
      <w:bookmarkStart w:id="7" w:name="_GoBack"/>
      <w:bookmarkEnd w:id="7"/>
      <w:r>
        <w:rPr>
          <w:rFonts w:ascii="Times New Roman" w:hAnsi="Times New Roman" w:cs="Times New Roman"/>
          <w:color w:val="auto"/>
          <w:sz w:val="28"/>
          <w:szCs w:val="28"/>
        </w:rPr>
        <w:t xml:space="preserve"> Краснореченского сельского                             поселения</w:t>
      </w:r>
    </w:p>
    <w:p w:rsidR="00BC23AD" w:rsidRPr="0044662C" w:rsidRDefault="00BC23AD" w:rsidP="00D96FDB">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252EA1">
          <w:headerReference w:type="even" r:id="rId10"/>
          <w:headerReference w:type="default" r:id="rId11"/>
          <w:headerReference w:type="first" r:id="rId12"/>
          <w:pgSz w:w="11900" w:h="16840"/>
          <w:pgMar w:top="127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B6" w:rsidRDefault="000819B6">
      <w:r>
        <w:separator/>
      </w:r>
    </w:p>
  </w:endnote>
  <w:endnote w:type="continuationSeparator" w:id="0">
    <w:p w:rsidR="000819B6" w:rsidRDefault="000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B6" w:rsidRDefault="000819B6">
      <w:r>
        <w:separator/>
      </w:r>
    </w:p>
  </w:footnote>
  <w:footnote w:type="continuationSeparator" w:id="0">
    <w:p w:rsidR="000819B6" w:rsidRDefault="0008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A1" w:rsidRDefault="00252EA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A1" w:rsidRDefault="00252EA1">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A1" w:rsidRDefault="00252EA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252EA1" w:rsidRDefault="00252EA1">
        <w:pPr>
          <w:pStyle w:val="af0"/>
          <w:jc w:val="center"/>
        </w:pPr>
        <w:r>
          <w:fldChar w:fldCharType="begin"/>
        </w:r>
        <w:r>
          <w:instrText>PAGE   \* MERGEFORMAT</w:instrText>
        </w:r>
        <w:r>
          <w:fldChar w:fldCharType="separate"/>
        </w:r>
        <w:r w:rsidR="00D96FDB">
          <w:rPr>
            <w:noProof/>
          </w:rPr>
          <w:t>2</w:t>
        </w:r>
        <w:r>
          <w:rPr>
            <w:noProof/>
          </w:rPr>
          <w:fldChar w:fldCharType="end"/>
        </w:r>
      </w:p>
    </w:sdtContent>
  </w:sdt>
  <w:p w:rsidR="00252EA1" w:rsidRDefault="00252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819B6"/>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1C6E"/>
    <w:rsid w:val="00252EA1"/>
    <w:rsid w:val="0025539B"/>
    <w:rsid w:val="002604ED"/>
    <w:rsid w:val="00275A79"/>
    <w:rsid w:val="002B1E2F"/>
    <w:rsid w:val="002D09C5"/>
    <w:rsid w:val="002E0A18"/>
    <w:rsid w:val="00302B96"/>
    <w:rsid w:val="00316E56"/>
    <w:rsid w:val="00336B43"/>
    <w:rsid w:val="0036718E"/>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B3FA9"/>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82EAE"/>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63FE7"/>
    <w:rsid w:val="00D73388"/>
    <w:rsid w:val="00D81DAE"/>
    <w:rsid w:val="00D91C5A"/>
    <w:rsid w:val="00D96FDB"/>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86E53"/>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1120-0D89-4585-840B-9BF9B642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14795</Words>
  <Characters>84334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lyuda</cp:lastModifiedBy>
  <cp:revision>2</cp:revision>
  <cp:lastPrinted>2023-07-19T08:44:00Z</cp:lastPrinted>
  <dcterms:created xsi:type="dcterms:W3CDTF">2023-09-28T07:27:00Z</dcterms:created>
  <dcterms:modified xsi:type="dcterms:W3CDTF">2023-09-28T07:27:00Z</dcterms:modified>
</cp:coreProperties>
</file>