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0C" w:rsidRDefault="00B76D0C" w:rsidP="004F0B3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B76D0C" w:rsidRPr="00263035" w:rsidRDefault="00B76D0C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76D0C" w:rsidRPr="00263035" w:rsidRDefault="00B76D0C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B76D0C" w:rsidRPr="00263035" w:rsidRDefault="00B76D0C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76D0C" w:rsidRPr="00263035" w:rsidRDefault="00B76D0C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B76D0C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B76D0C" w:rsidP="0017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27.05.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</w:p>
    <w:p w:rsidR="00B76D0C" w:rsidRPr="00263035" w:rsidRDefault="00B76D0C" w:rsidP="0017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Краснореченка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 о с т а н о в л я е т: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B76D0C" w:rsidRPr="00263035" w:rsidRDefault="00B76D0C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предпринимательства(приложение № 1).</w:t>
      </w:r>
    </w:p>
    <w:p w:rsidR="00B76D0C" w:rsidRPr="00263035" w:rsidRDefault="00B76D0C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для опубликования в Вестнике</w:t>
      </w:r>
      <w:r w:rsidRPr="0026303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1.3. Виды муниципального имущества, которое используется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(приложение № 3).</w:t>
      </w:r>
    </w:p>
    <w:p w:rsidR="00B76D0C" w:rsidRPr="00263035" w:rsidRDefault="00B76D0C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B76D0C" w:rsidRPr="00263035" w:rsidRDefault="00B76D0C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B76D0C" w:rsidRPr="00263035" w:rsidRDefault="00B76D0C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B76D0C" w:rsidRPr="00A608A9" w:rsidRDefault="00B76D0C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08A9">
        <w:rPr>
          <w:rFonts w:ascii="Times New Roman" w:hAnsi="Times New Roman" w:cs="Times New Roman"/>
          <w:sz w:val="28"/>
          <w:szCs w:val="28"/>
        </w:rPr>
        <w:t>:</w:t>
      </w:r>
    </w:p>
    <w:p w:rsidR="00B76D0C" w:rsidRPr="00A608A9" w:rsidRDefault="00B76D0C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8A9">
        <w:rPr>
          <w:rFonts w:ascii="Times New Roman" w:hAnsi="Times New Roman" w:cs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Вестнике </w:t>
      </w:r>
      <w:r w:rsidRPr="00263035">
        <w:rPr>
          <w:rFonts w:ascii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Pr="00263035">
        <w:rPr>
          <w:rFonts w:ascii="Times New Roman" w:hAnsi="Times New Roman" w:cs="Times New Roman"/>
          <w:sz w:val="28"/>
          <w:szCs w:val="28"/>
        </w:rPr>
        <w:t>е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21.03.</w:t>
      </w:r>
      <w:r w:rsidRPr="00263035">
        <w:rPr>
          <w:rFonts w:ascii="Times New Roman" w:hAnsi="Times New Roman" w:cs="Times New Roman"/>
          <w:sz w:val="28"/>
          <w:szCs w:val="28"/>
        </w:rPr>
        <w:t xml:space="preserve">2017 года №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263035">
        <w:rPr>
          <w:rFonts w:ascii="Times New Roman" w:hAnsi="Times New Roman" w:cs="Times New Roman"/>
          <w:sz w:val="28"/>
          <w:szCs w:val="28"/>
        </w:rPr>
        <w:t xml:space="preserve"> «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3035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возложить на заместителя главы сельского поселения.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87"/>
        <w:gridCol w:w="3067"/>
        <w:gridCol w:w="3316"/>
      </w:tblGrid>
      <w:tr w:rsidR="00B76D0C" w:rsidRPr="006D6A2D">
        <w:tc>
          <w:tcPr>
            <w:tcW w:w="3379" w:type="dxa"/>
          </w:tcPr>
          <w:p w:rsidR="00B76D0C" w:rsidRPr="00263035" w:rsidRDefault="00B76D0C" w:rsidP="004F5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И.о.г</w:t>
            </w:r>
            <w:r w:rsidRPr="002630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B76D0C" w:rsidRPr="00263035" w:rsidRDefault="00B76D0C" w:rsidP="004F5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30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3380" w:type="dxa"/>
          </w:tcPr>
          <w:p w:rsidR="00B76D0C" w:rsidRPr="00263035" w:rsidRDefault="00B76D0C" w:rsidP="00172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</w:tcPr>
          <w:p w:rsidR="00B76D0C" w:rsidRPr="00263035" w:rsidRDefault="00B76D0C" w:rsidP="00172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</w:t>
            </w:r>
          </w:p>
        </w:tc>
      </w:tr>
    </w:tbl>
    <w:p w:rsidR="00B76D0C" w:rsidRDefault="00B76D0C" w:rsidP="00172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6D0C" w:rsidRDefault="00B76D0C" w:rsidP="00172138">
      <w:pPr>
        <w:spacing w:after="0" w:line="240" w:lineRule="auto"/>
        <w:ind w:firstLine="709"/>
        <w:jc w:val="both"/>
      </w:pPr>
    </w:p>
    <w:p w:rsidR="00B76D0C" w:rsidRPr="00A608A9" w:rsidRDefault="00B76D0C" w:rsidP="00172138">
      <w:pPr>
        <w:spacing w:line="240" w:lineRule="auto"/>
      </w:pPr>
    </w:p>
    <w:p w:rsidR="00B76D0C" w:rsidRPr="00263035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76D0C" w:rsidRDefault="00B76D0C" w:rsidP="00172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</w:p>
    <w:p w:rsidR="00B76D0C" w:rsidRPr="00263035" w:rsidRDefault="00B76D0C" w:rsidP="00172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6D0C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27.05.</w:t>
      </w:r>
      <w:r w:rsidRPr="00263035">
        <w:rPr>
          <w:rFonts w:ascii="Times New Roman" w:hAnsi="Times New Roman" w:cs="Times New Roman"/>
          <w:sz w:val="28"/>
          <w:szCs w:val="28"/>
        </w:rPr>
        <w:t xml:space="preserve"> 2019г.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ПОРЯДОК ФОРМИРОВАНИЯ, ВЕДЕНИЯ,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ЕЖЕГОДНОГО ДОПОЛНЕНИЯ И ОПУБЛИКОВАНИЯ</w:t>
      </w:r>
    </w:p>
    <w:p w:rsidR="00B76D0C" w:rsidRPr="00263035" w:rsidRDefault="00B76D0C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 </w:t>
      </w:r>
      <w:r w:rsidRPr="00263035">
        <w:rPr>
          <w:rFonts w:ascii="Times New Roman" w:hAnsi="Times New Roman" w:cs="Times New Roman"/>
          <w:sz w:val="28"/>
          <w:szCs w:val="28"/>
        </w:rPr>
        <w:t>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Краснореченскому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BF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оказания имущественной поддержки субъектам малого и среднего предпринимательства.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стимулирования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>
        <w:rPr>
          <w:rFonts w:ascii="Times New Roman" w:hAnsi="Times New Roman" w:cs="Times New Roman"/>
          <w:sz w:val="28"/>
          <w:szCs w:val="28"/>
        </w:rPr>
        <w:t>Краснореченском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сельском поселении по обеспечению взаимодействия исполнительных органов власти Воронежской области с территориальным органом Росимущества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263035">
        <w:rPr>
          <w:rFonts w:ascii="Times New Roman" w:hAnsi="Times New Roman" w:cs="Times New Roman"/>
          <w:sz w:val="28"/>
          <w:szCs w:val="28"/>
        </w:rPr>
        <w:t>3.1. Перечень, изменения и ежегодное дополнение в него утверждаются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3.2. Формирование и ведение Перечня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Pr="00316FC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сельского поселения, уполномоченного на утверждение Перечня, по его инициативе или на основании предложений исполнительных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коллегиального органа в </w:t>
      </w:r>
      <w:r>
        <w:rPr>
          <w:rFonts w:ascii="Times New Roman" w:hAnsi="Times New Roman" w:cs="Times New Roman"/>
          <w:sz w:val="28"/>
          <w:szCs w:val="28"/>
        </w:rPr>
        <w:t>Краснореченском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сельском поселении по обеспечению взаимодействия исполнительных органов власти Воронежской области с территориальным органом Росимущества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263035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263035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Pr="00917DE1">
        <w:rPr>
          <w:rFonts w:ascii="Times New Roman" w:hAnsi="Times New Roman" w:cs="Times New Roman"/>
          <w:sz w:val="28"/>
          <w:szCs w:val="28"/>
        </w:rPr>
        <w:t>администрации</w:t>
      </w:r>
      <w:r w:rsidRPr="004F0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уполномоченного на согласование сделок с имуществом балансодержателя.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–ни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9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подлежат исключению из Перечня, в следующих случаях: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на имущество прекращено по решению суда или в ином установленном законом порядке;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настоящему Постановлению;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76D0C" w:rsidRPr="00263035" w:rsidSect="00294EF4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76D0C" w:rsidRPr="00263035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76D0C" w:rsidRDefault="00B76D0C" w:rsidP="00172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Утверждено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B76D0C" w:rsidRPr="00263035" w:rsidRDefault="00B76D0C" w:rsidP="00172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27.05.</w:t>
      </w:r>
      <w:r w:rsidRPr="00263035">
        <w:rPr>
          <w:rFonts w:ascii="Times New Roman" w:hAnsi="Times New Roman" w:cs="Times New Roman"/>
          <w:sz w:val="28"/>
          <w:szCs w:val="28"/>
        </w:rPr>
        <w:t xml:space="preserve"> 2019г.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hAnsi="Times New Roman" w:cs="Times New Roman"/>
          <w:sz w:val="28"/>
          <w:szCs w:val="28"/>
          <w:lang w:eastAsia="ru-RU"/>
        </w:rPr>
        <w:t xml:space="preserve">ФОРМА ПЕРЕЧНЯ МУНИЦИПАЛЬНОГО ИМУЩЕСТВА,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 </w:t>
      </w:r>
      <w:r w:rsidRPr="00A81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СУБЪЕКТОВМАЛОГО И СРЕДНЕГО ПРЕДПРИНИМАТЕЛЬСТВА</w:t>
      </w: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B76D0C" w:rsidRPr="006D6A2D">
        <w:trPr>
          <w:trHeight w:val="276"/>
        </w:trPr>
        <w:tc>
          <w:tcPr>
            <w:tcW w:w="562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6D6A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6D6A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B76D0C" w:rsidRPr="006D6A2D">
        <w:trPr>
          <w:trHeight w:val="276"/>
        </w:trPr>
        <w:tc>
          <w:tcPr>
            <w:tcW w:w="562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B76D0C" w:rsidRPr="006D6A2D">
        <w:trPr>
          <w:trHeight w:val="552"/>
        </w:trPr>
        <w:tc>
          <w:tcPr>
            <w:tcW w:w="562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B76D0C" w:rsidRPr="006D6A2D">
        <w:tc>
          <w:tcPr>
            <w:tcW w:w="562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B76D0C" w:rsidRPr="006D6A2D">
        <w:trPr>
          <w:trHeight w:val="276"/>
        </w:trPr>
        <w:tc>
          <w:tcPr>
            <w:tcW w:w="8359" w:type="dxa"/>
            <w:gridSpan w:val="5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B76D0C" w:rsidRPr="006D6A2D">
        <w:trPr>
          <w:trHeight w:val="276"/>
        </w:trPr>
        <w:tc>
          <w:tcPr>
            <w:tcW w:w="3114" w:type="dxa"/>
            <w:gridSpan w:val="2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D0C" w:rsidRPr="006D6A2D">
        <w:trPr>
          <w:trHeight w:val="2050"/>
        </w:trPr>
        <w:tc>
          <w:tcPr>
            <w:tcW w:w="98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12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 (принадлежнос-ти) имущества </w:t>
            </w:r>
          </w:p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B76D0C" w:rsidRPr="006D6A2D">
        <w:tc>
          <w:tcPr>
            <w:tcW w:w="98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1946"/>
        <w:gridCol w:w="2231"/>
        <w:gridCol w:w="1995"/>
        <w:gridCol w:w="2231"/>
        <w:gridCol w:w="1795"/>
        <w:gridCol w:w="1729"/>
      </w:tblGrid>
      <w:tr w:rsidR="00B76D0C" w:rsidRPr="006D6A2D">
        <w:tc>
          <w:tcPr>
            <w:tcW w:w="14312" w:type="dxa"/>
            <w:gridSpan w:val="7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B76D0C" w:rsidRPr="006D6A2D">
        <w:tc>
          <w:tcPr>
            <w:tcW w:w="5501" w:type="dxa"/>
            <w:gridSpan w:val="2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2098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B76D0C" w:rsidRPr="006D6A2D">
        <w:tc>
          <w:tcPr>
            <w:tcW w:w="278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имущество&lt;10&gt;</w:t>
            </w:r>
          </w:p>
        </w:tc>
        <w:tc>
          <w:tcPr>
            <w:tcW w:w="2713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D0C" w:rsidRPr="006D6A2D">
        <w:tc>
          <w:tcPr>
            <w:tcW w:w="278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76D0C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&lt;1&gt;</w:t>
      </w:r>
      <w:bookmarkStart w:id="4" w:name="P205"/>
      <w:bookmarkEnd w:id="4"/>
      <w:r w:rsidRPr="002C6C17">
        <w:rPr>
          <w:rFonts w:ascii="Times New Roman" w:hAnsi="Times New Roman" w:cs="Times New Roman"/>
          <w:sz w:val="28"/>
          <w:szCs w:val="28"/>
          <w:lang w:eastAsia="ru-RU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206"/>
      <w:bookmarkEnd w:id="5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207"/>
      <w:bookmarkEnd w:id="6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&lt;10&gt; Указывается «Да» или «Нет».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B76D0C" w:rsidRPr="00263035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B76D0C" w:rsidRPr="00263035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B76D0C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B76D0C" w:rsidRPr="00263035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76D0C" w:rsidRPr="00263035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мая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2019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>
        <w:rPr>
          <w:rFonts w:ascii="Times New Roman" w:hAnsi="Times New Roman" w:cs="Times New Roman"/>
          <w:sz w:val="28"/>
          <w:szCs w:val="28"/>
        </w:rPr>
        <w:t>Краснореченское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bookmarkStart w:id="7" w:name="_GoBack"/>
      <w:bookmarkEnd w:id="7"/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настоящим постановлением;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B76D0C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D0C" w:rsidRDefault="00B76D0C" w:rsidP="00F3264B">
      <w:pPr>
        <w:spacing w:after="0" w:line="240" w:lineRule="auto"/>
      </w:pPr>
      <w:r>
        <w:separator/>
      </w:r>
    </w:p>
  </w:endnote>
  <w:endnote w:type="continuationSeparator" w:id="1">
    <w:p w:rsidR="00B76D0C" w:rsidRDefault="00B76D0C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D0C" w:rsidRDefault="00B76D0C" w:rsidP="00F3264B">
      <w:pPr>
        <w:spacing w:after="0" w:line="240" w:lineRule="auto"/>
      </w:pPr>
      <w:r>
        <w:separator/>
      </w:r>
    </w:p>
  </w:footnote>
  <w:footnote w:type="continuationSeparator" w:id="1">
    <w:p w:rsidR="00B76D0C" w:rsidRDefault="00B76D0C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0C" w:rsidRDefault="00B76D0C" w:rsidP="00294EF4">
    <w:pPr>
      <w:pStyle w:val="Header"/>
      <w:jc w:val="center"/>
      <w:rPr>
        <w:rFonts w:cs="Times New Roman"/>
      </w:rPr>
    </w:pPr>
    <w:fldSimple w:instr="PAGE   \* MERGEFORMAT">
      <w:r>
        <w:rPr>
          <w:noProof/>
        </w:rPr>
        <w:t>2</w:t>
      </w:r>
    </w:fldSimple>
  </w:p>
  <w:p w:rsidR="00B76D0C" w:rsidRDefault="00B76D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64B"/>
    <w:rsid w:val="00006159"/>
    <w:rsid w:val="0002092E"/>
    <w:rsid w:val="00067D2A"/>
    <w:rsid w:val="001364BD"/>
    <w:rsid w:val="00146C39"/>
    <w:rsid w:val="00172138"/>
    <w:rsid w:val="001A541B"/>
    <w:rsid w:val="00226900"/>
    <w:rsid w:val="00263035"/>
    <w:rsid w:val="00294EF4"/>
    <w:rsid w:val="002A5EAF"/>
    <w:rsid w:val="002B2C52"/>
    <w:rsid w:val="002C5EDB"/>
    <w:rsid w:val="002C6C17"/>
    <w:rsid w:val="00316FCE"/>
    <w:rsid w:val="0031754D"/>
    <w:rsid w:val="003D36E1"/>
    <w:rsid w:val="003E56DE"/>
    <w:rsid w:val="004518C2"/>
    <w:rsid w:val="00477C45"/>
    <w:rsid w:val="004A2C88"/>
    <w:rsid w:val="004B0155"/>
    <w:rsid w:val="004F0B3B"/>
    <w:rsid w:val="004F55FD"/>
    <w:rsid w:val="00511237"/>
    <w:rsid w:val="00550E65"/>
    <w:rsid w:val="005713D9"/>
    <w:rsid w:val="00584202"/>
    <w:rsid w:val="005B0A27"/>
    <w:rsid w:val="005C3C63"/>
    <w:rsid w:val="00635AE6"/>
    <w:rsid w:val="00641C2A"/>
    <w:rsid w:val="006A095C"/>
    <w:rsid w:val="006C2ACB"/>
    <w:rsid w:val="006D1D30"/>
    <w:rsid w:val="006D6A2D"/>
    <w:rsid w:val="006E0D25"/>
    <w:rsid w:val="006E26E7"/>
    <w:rsid w:val="007113C8"/>
    <w:rsid w:val="007122AD"/>
    <w:rsid w:val="00736BF4"/>
    <w:rsid w:val="00764476"/>
    <w:rsid w:val="007B2DA1"/>
    <w:rsid w:val="007D59B8"/>
    <w:rsid w:val="007E10FE"/>
    <w:rsid w:val="007F3B6E"/>
    <w:rsid w:val="0081759C"/>
    <w:rsid w:val="0082104F"/>
    <w:rsid w:val="008339FB"/>
    <w:rsid w:val="008433FB"/>
    <w:rsid w:val="00863690"/>
    <w:rsid w:val="00877A89"/>
    <w:rsid w:val="008B06D9"/>
    <w:rsid w:val="008D2630"/>
    <w:rsid w:val="008E1BD8"/>
    <w:rsid w:val="00905E46"/>
    <w:rsid w:val="00917DE1"/>
    <w:rsid w:val="0095187A"/>
    <w:rsid w:val="009801D4"/>
    <w:rsid w:val="00983873"/>
    <w:rsid w:val="00996D48"/>
    <w:rsid w:val="009B23C6"/>
    <w:rsid w:val="009F3EA2"/>
    <w:rsid w:val="00A54942"/>
    <w:rsid w:val="00A60745"/>
    <w:rsid w:val="00A608A9"/>
    <w:rsid w:val="00A81A81"/>
    <w:rsid w:val="00B766F1"/>
    <w:rsid w:val="00B76D0C"/>
    <w:rsid w:val="00BA671C"/>
    <w:rsid w:val="00BE611E"/>
    <w:rsid w:val="00C454CA"/>
    <w:rsid w:val="00C50C46"/>
    <w:rsid w:val="00C51CD9"/>
    <w:rsid w:val="00C5582C"/>
    <w:rsid w:val="00C8088E"/>
    <w:rsid w:val="00C91899"/>
    <w:rsid w:val="00CD2359"/>
    <w:rsid w:val="00D26FCA"/>
    <w:rsid w:val="00D32772"/>
    <w:rsid w:val="00D369BD"/>
    <w:rsid w:val="00D83CAB"/>
    <w:rsid w:val="00E1316F"/>
    <w:rsid w:val="00E25D94"/>
    <w:rsid w:val="00E34E59"/>
    <w:rsid w:val="00E702D1"/>
    <w:rsid w:val="00F3264B"/>
    <w:rsid w:val="00F42081"/>
    <w:rsid w:val="00F54299"/>
    <w:rsid w:val="00F54A21"/>
    <w:rsid w:val="00F81E1F"/>
    <w:rsid w:val="00F957CC"/>
    <w:rsid w:val="00FC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4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264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264B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3264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3264B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264B"/>
    <w:rPr>
      <w:vertAlign w:val="superscript"/>
    </w:rPr>
  </w:style>
  <w:style w:type="table" w:customStyle="1" w:styleId="1">
    <w:name w:val="Сетка таблицы1"/>
    <w:uiPriority w:val="99"/>
    <w:rsid w:val="00F326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26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339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Normal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uiPriority w:val="99"/>
    <w:rsid w:val="002C6C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76796F587D25AA7439EAE588525A5367750ABAFEDD25E0AACE9B36DxCe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518</TotalTime>
  <Pages>16</Pages>
  <Words>4153</Words>
  <Characters>23673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17</cp:revision>
  <cp:lastPrinted>2019-06-03T06:52:00Z</cp:lastPrinted>
  <dcterms:created xsi:type="dcterms:W3CDTF">2019-03-04T05:26:00Z</dcterms:created>
  <dcterms:modified xsi:type="dcterms:W3CDTF">2019-06-03T06:57:00Z</dcterms:modified>
</cp:coreProperties>
</file>